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794FB9" w:rsidP="0003642B">
      <w:pPr>
        <w:pStyle w:val="a3"/>
        <w:jc w:val="center"/>
      </w:pPr>
      <w:r w:rsidRPr="000C4D08">
        <w:t>РОССТАТ</w:t>
      </w:r>
    </w:p>
    <w:p w:rsidR="00A77B51" w:rsidRPr="000C4D08" w:rsidRDefault="00794FB9" w:rsidP="0003642B">
      <w:pPr>
        <w:pStyle w:val="a3"/>
        <w:jc w:val="center"/>
      </w:pPr>
    </w:p>
    <w:p w:rsidR="0003642B" w:rsidRPr="008544BC" w:rsidRDefault="00794FB9" w:rsidP="0003642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794FB9" w:rsidP="0003642B">
      <w:pPr>
        <w:pStyle w:val="31"/>
      </w:pPr>
      <w:r>
        <w:t>(КРАСНОЯРСКСТАТ)</w:t>
      </w:r>
    </w:p>
    <w:p w:rsidR="00B96E52" w:rsidRPr="00261A19" w:rsidRDefault="00794FB9" w:rsidP="0003642B">
      <w:pPr>
        <w:jc w:val="center"/>
      </w:pPr>
    </w:p>
    <w:p w:rsidR="0003642B" w:rsidRDefault="00794FB9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E09B1" w:rsidRDefault="00794FB9" w:rsidP="0003642B">
      <w:pPr>
        <w:jc w:val="center"/>
        <w:rPr>
          <w:b/>
          <w:sz w:val="28"/>
        </w:rPr>
      </w:pPr>
    </w:p>
    <w:p w:rsidR="007F689F" w:rsidRPr="00CD24C5" w:rsidRDefault="00794FB9" w:rsidP="00020294">
      <w:pPr>
        <w:jc w:val="center"/>
        <w:rPr>
          <w:rFonts w:ascii="Arial" w:hAnsi="Arial" w:cs="Arial"/>
          <w:b/>
          <w:sz w:val="24"/>
          <w:szCs w:val="24"/>
        </w:rPr>
      </w:pPr>
      <w:r w:rsidRPr="00CD24C5">
        <w:rPr>
          <w:rFonts w:ascii="Arial" w:hAnsi="Arial" w:cs="Arial"/>
          <w:b/>
          <w:sz w:val="24"/>
          <w:szCs w:val="24"/>
        </w:rPr>
        <w:t xml:space="preserve">Выполнение федеральной адресной инвестиционной программы </w:t>
      </w:r>
      <w:r w:rsidRPr="00CD24C5">
        <w:rPr>
          <w:rFonts w:ascii="Arial" w:hAnsi="Arial" w:cs="Arial"/>
          <w:b/>
          <w:sz w:val="24"/>
          <w:szCs w:val="24"/>
        </w:rPr>
        <w:br/>
        <w:t xml:space="preserve">в </w:t>
      </w:r>
      <w:r w:rsidRPr="00CD24C5">
        <w:rPr>
          <w:rFonts w:ascii="Arial" w:hAnsi="Arial" w:cs="Arial"/>
          <w:b/>
          <w:sz w:val="24"/>
          <w:szCs w:val="24"/>
        </w:rPr>
        <w:t>Республике Хакасия</w:t>
      </w:r>
      <w:r w:rsidRPr="00CD24C5">
        <w:rPr>
          <w:rFonts w:ascii="Arial" w:hAnsi="Arial" w:cs="Arial"/>
          <w:b/>
          <w:sz w:val="24"/>
          <w:szCs w:val="24"/>
        </w:rPr>
        <w:t xml:space="preserve"> </w:t>
      </w:r>
      <w:r w:rsidRPr="00CD24C5">
        <w:rPr>
          <w:rFonts w:ascii="Arial" w:hAnsi="Arial" w:cs="Arial"/>
          <w:b/>
          <w:sz w:val="24"/>
          <w:szCs w:val="24"/>
        </w:rPr>
        <w:t>в 20</w:t>
      </w:r>
      <w:r>
        <w:rPr>
          <w:rFonts w:ascii="Arial" w:hAnsi="Arial" w:cs="Arial"/>
          <w:b/>
          <w:sz w:val="24"/>
          <w:szCs w:val="24"/>
        </w:rPr>
        <w:t>20</w:t>
      </w:r>
      <w:r w:rsidRPr="00CD24C5">
        <w:rPr>
          <w:rFonts w:ascii="Arial" w:hAnsi="Arial" w:cs="Arial"/>
          <w:b/>
          <w:sz w:val="24"/>
          <w:szCs w:val="24"/>
        </w:rPr>
        <w:t xml:space="preserve"> год</w:t>
      </w:r>
      <w:r w:rsidRPr="00CD24C5">
        <w:rPr>
          <w:rFonts w:ascii="Arial" w:hAnsi="Arial" w:cs="Arial"/>
          <w:b/>
          <w:sz w:val="24"/>
          <w:szCs w:val="24"/>
        </w:rPr>
        <w:t>у</w:t>
      </w:r>
    </w:p>
    <w:p w:rsidR="00EF0E0C" w:rsidRPr="00CD24C5" w:rsidRDefault="00794FB9" w:rsidP="00020294">
      <w:pPr>
        <w:jc w:val="center"/>
        <w:rPr>
          <w:sz w:val="24"/>
          <w:szCs w:val="24"/>
        </w:rPr>
      </w:pPr>
      <w:r w:rsidRPr="00CD24C5">
        <w:rPr>
          <w:sz w:val="24"/>
          <w:szCs w:val="24"/>
        </w:rPr>
        <w:t xml:space="preserve">(при </w:t>
      </w:r>
      <w:r w:rsidRPr="00CD24C5">
        <w:rPr>
          <w:sz w:val="24"/>
          <w:szCs w:val="24"/>
        </w:rPr>
        <w:t>использовании данных ссылка на Красноярскстат обязательна)</w:t>
      </w:r>
    </w:p>
    <w:p w:rsidR="00B24AE1" w:rsidRPr="005A4EB8" w:rsidRDefault="00794FB9" w:rsidP="0003642B">
      <w:pPr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3257"/>
        <w:gridCol w:w="3291"/>
      </w:tblGrid>
      <w:tr w:rsidR="000C5223" w:rsidTr="009536A7">
        <w:tc>
          <w:tcPr>
            <w:tcW w:w="3379" w:type="dxa"/>
          </w:tcPr>
          <w:p w:rsidR="00C274BA" w:rsidRPr="003D0E3E" w:rsidRDefault="00794FB9" w:rsidP="0011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3379" w:type="dxa"/>
          </w:tcPr>
          <w:p w:rsidR="00C274BA" w:rsidRDefault="00794FB9" w:rsidP="006401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794FB9" w:rsidP="006570AE">
            <w:pPr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2108C0" w:rsidRDefault="00794FB9" w:rsidP="002108C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D1013B" w:rsidRDefault="00794FB9" w:rsidP="00D024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3714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</w:t>
      </w:r>
      <w:r w:rsidRPr="00783714">
        <w:rPr>
          <w:sz w:val="28"/>
          <w:szCs w:val="28"/>
        </w:rPr>
        <w:t xml:space="preserve"> рамках реализации государственной социально-экономической политики </w:t>
      </w:r>
      <w:r>
        <w:rPr>
          <w:sz w:val="28"/>
          <w:szCs w:val="28"/>
        </w:rPr>
        <w:t>в Ф</w:t>
      </w:r>
      <w:r>
        <w:rPr>
          <w:sz w:val="28"/>
          <w:szCs w:val="28"/>
        </w:rPr>
        <w:t>едеральн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Общий лимит государственных капитальных вложений составил </w:t>
      </w:r>
      <w:r>
        <w:rPr>
          <w:sz w:val="28"/>
          <w:szCs w:val="28"/>
        </w:rPr>
        <w:t>9</w:t>
      </w:r>
      <w:r>
        <w:rPr>
          <w:sz w:val="28"/>
          <w:szCs w:val="28"/>
        </w:rPr>
        <w:t>41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миллиона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878D0" w:rsidRDefault="00794FB9" w:rsidP="00D02496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консолидированного бюджета фактически </w:t>
      </w:r>
      <w:r>
        <w:rPr>
          <w:sz w:val="28"/>
          <w:szCs w:val="28"/>
        </w:rPr>
        <w:t xml:space="preserve">перечислено </w:t>
      </w:r>
      <w:r>
        <w:rPr>
          <w:sz w:val="28"/>
          <w:szCs w:val="28"/>
        </w:rPr>
        <w:br/>
      </w:r>
      <w:r>
        <w:rPr>
          <w:sz w:val="28"/>
          <w:szCs w:val="28"/>
        </w:rPr>
        <w:t>841,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миллиона</w:t>
      </w:r>
      <w:r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федерального бюджета </w:t>
      </w:r>
      <w:r>
        <w:rPr>
          <w:sz w:val="28"/>
          <w:szCs w:val="28"/>
        </w:rPr>
        <w:t xml:space="preserve">– </w:t>
      </w:r>
      <w:r w:rsidRPr="00A23A2A">
        <w:rPr>
          <w:sz w:val="28"/>
          <w:szCs w:val="28"/>
        </w:rPr>
        <w:t>9</w:t>
      </w:r>
      <w:r w:rsidRPr="00A23A2A">
        <w:rPr>
          <w:sz w:val="28"/>
          <w:szCs w:val="28"/>
        </w:rPr>
        <w:t>1</w:t>
      </w:r>
      <w:r w:rsidRPr="00A23A2A">
        <w:rPr>
          <w:sz w:val="28"/>
          <w:szCs w:val="28"/>
        </w:rPr>
        <w:t>,</w:t>
      </w:r>
      <w:r w:rsidRPr="00A23A2A">
        <w:rPr>
          <w:sz w:val="28"/>
          <w:szCs w:val="28"/>
        </w:rPr>
        <w:t>2</w:t>
      </w:r>
      <w:r w:rsidRPr="00A23A2A">
        <w:rPr>
          <w:sz w:val="28"/>
          <w:szCs w:val="28"/>
        </w:rPr>
        <w:t xml:space="preserve"> процента, регионального</w:t>
      </w:r>
      <w:r w:rsidRPr="00A23A2A">
        <w:rPr>
          <w:sz w:val="28"/>
          <w:szCs w:val="28"/>
        </w:rPr>
        <w:t xml:space="preserve"> </w:t>
      </w:r>
      <w:r w:rsidRPr="00A23A2A">
        <w:rPr>
          <w:sz w:val="28"/>
          <w:szCs w:val="28"/>
        </w:rPr>
        <w:t>–</w:t>
      </w:r>
      <w:r w:rsidRPr="00A23A2A">
        <w:rPr>
          <w:sz w:val="28"/>
          <w:szCs w:val="28"/>
        </w:rPr>
        <w:t xml:space="preserve"> </w:t>
      </w:r>
      <w:r w:rsidRPr="00A23A2A">
        <w:rPr>
          <w:sz w:val="28"/>
          <w:szCs w:val="28"/>
        </w:rPr>
        <w:t>8,8</w:t>
      </w:r>
      <w:r w:rsidRPr="00A23A2A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состоянию на 1 января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полностью профинансировано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от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1 процента до </w:t>
      </w:r>
      <w:r>
        <w:rPr>
          <w:sz w:val="28"/>
          <w:szCs w:val="28"/>
        </w:rPr>
        <w:t>90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объект.</w:t>
      </w:r>
    </w:p>
    <w:p w:rsidR="00D02496" w:rsidRDefault="00794FB9" w:rsidP="008B2468">
      <w:pPr>
        <w:widowControl w:val="0"/>
        <w:tabs>
          <w:tab w:val="left" w:pos="142"/>
          <w:tab w:val="left" w:pos="284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строительство и реконструкцию </w:t>
      </w:r>
      <w:r w:rsidRPr="00292A3B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здравоохранения и социальных услуг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процента </w:t>
      </w:r>
      <w:r w:rsidRPr="00292A3B">
        <w:rPr>
          <w:sz w:val="28"/>
          <w:szCs w:val="28"/>
        </w:rPr>
        <w:t>общего объема</w:t>
      </w:r>
      <w:r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объекты сферы </w:t>
      </w:r>
      <w:r>
        <w:rPr>
          <w:sz w:val="28"/>
          <w:szCs w:val="28"/>
        </w:rPr>
        <w:t xml:space="preserve">культуры, спорта, организации досуга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развлечений </w:t>
      </w:r>
      <w:r>
        <w:rPr>
          <w:sz w:val="28"/>
          <w:szCs w:val="28"/>
        </w:rPr>
        <w:t>переведено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28,2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132D16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объема бюджетного финансирования,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возведение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реконструкцию </w:t>
      </w:r>
      <w:r>
        <w:rPr>
          <w:sz w:val="28"/>
          <w:szCs w:val="28"/>
        </w:rPr>
        <w:t>автомобильн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дорог</w:t>
      </w:r>
      <w:r w:rsidRPr="00132D16">
        <w:rPr>
          <w:sz w:val="28"/>
          <w:szCs w:val="28"/>
        </w:rPr>
        <w:t xml:space="preserve"> </w:t>
      </w:r>
      <w:r>
        <w:rPr>
          <w:sz w:val="28"/>
          <w:szCs w:val="28"/>
        </w:rPr>
        <w:t>и их обустройство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27,8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08C0" w:rsidRDefault="00794FB9" w:rsidP="00D02496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стройках и объектах</w:t>
      </w:r>
      <w:r w:rsidRPr="0023073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 xml:space="preserve">, включенных </w:t>
      </w:r>
      <w:r>
        <w:rPr>
          <w:sz w:val="28"/>
          <w:szCs w:val="28"/>
        </w:rPr>
        <w:br/>
        <w:t xml:space="preserve">в федеральную адресную инвестиционную программу, за счет всех источников финансирования фактически освоено </w:t>
      </w:r>
      <w:r>
        <w:rPr>
          <w:sz w:val="28"/>
          <w:szCs w:val="28"/>
        </w:rPr>
        <w:t>841,3</w:t>
      </w:r>
      <w:r>
        <w:rPr>
          <w:sz w:val="28"/>
          <w:szCs w:val="28"/>
        </w:rPr>
        <w:t xml:space="preserve"> миллиона рублей.</w:t>
      </w:r>
      <w:r w:rsidRPr="002108C0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>ввод в эксплуатацию</w:t>
      </w:r>
      <w:r>
        <w:rPr>
          <w:sz w:val="28"/>
          <w:szCs w:val="28"/>
        </w:rPr>
        <w:t xml:space="preserve"> объектов капита</w:t>
      </w:r>
      <w:r>
        <w:rPr>
          <w:sz w:val="28"/>
          <w:szCs w:val="28"/>
        </w:rPr>
        <w:t>льного строительства не осуществлялся.</w:t>
      </w:r>
    </w:p>
    <w:p w:rsidR="005A4EB8" w:rsidRDefault="00794FB9" w:rsidP="00486958">
      <w:pPr>
        <w:pStyle w:val="a9"/>
        <w:tabs>
          <w:tab w:val="left" w:pos="284"/>
        </w:tabs>
        <w:spacing w:line="300" w:lineRule="auto"/>
        <w:ind w:left="142"/>
        <w:jc w:val="both"/>
        <w:rPr>
          <w:sz w:val="32"/>
          <w:szCs w:val="32"/>
        </w:rPr>
      </w:pPr>
    </w:p>
    <w:sectPr w:rsidR="005A4EB8" w:rsidSect="00486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9528A33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6FC3F42" w:tentative="1">
      <w:start w:val="1"/>
      <w:numFmt w:val="lowerLetter"/>
      <w:lvlText w:val="%2."/>
      <w:lvlJc w:val="left"/>
      <w:pPr>
        <w:ind w:left="1506" w:hanging="360"/>
      </w:pPr>
    </w:lvl>
    <w:lvl w:ilvl="2" w:tplc="403A6BCA" w:tentative="1">
      <w:start w:val="1"/>
      <w:numFmt w:val="lowerRoman"/>
      <w:lvlText w:val="%3."/>
      <w:lvlJc w:val="right"/>
      <w:pPr>
        <w:ind w:left="2226" w:hanging="180"/>
      </w:pPr>
    </w:lvl>
    <w:lvl w:ilvl="3" w:tplc="81F4E1BA" w:tentative="1">
      <w:start w:val="1"/>
      <w:numFmt w:val="decimal"/>
      <w:lvlText w:val="%4."/>
      <w:lvlJc w:val="left"/>
      <w:pPr>
        <w:ind w:left="2946" w:hanging="360"/>
      </w:pPr>
    </w:lvl>
    <w:lvl w:ilvl="4" w:tplc="4E92BC10" w:tentative="1">
      <w:start w:val="1"/>
      <w:numFmt w:val="lowerLetter"/>
      <w:lvlText w:val="%5."/>
      <w:lvlJc w:val="left"/>
      <w:pPr>
        <w:ind w:left="3666" w:hanging="360"/>
      </w:pPr>
    </w:lvl>
    <w:lvl w:ilvl="5" w:tplc="4058D58A" w:tentative="1">
      <w:start w:val="1"/>
      <w:numFmt w:val="lowerRoman"/>
      <w:lvlText w:val="%6."/>
      <w:lvlJc w:val="right"/>
      <w:pPr>
        <w:ind w:left="4386" w:hanging="180"/>
      </w:pPr>
    </w:lvl>
    <w:lvl w:ilvl="6" w:tplc="C23299FC" w:tentative="1">
      <w:start w:val="1"/>
      <w:numFmt w:val="decimal"/>
      <w:lvlText w:val="%7."/>
      <w:lvlJc w:val="left"/>
      <w:pPr>
        <w:ind w:left="5106" w:hanging="360"/>
      </w:pPr>
    </w:lvl>
    <w:lvl w:ilvl="7" w:tplc="F0082AAA" w:tentative="1">
      <w:start w:val="1"/>
      <w:numFmt w:val="lowerLetter"/>
      <w:lvlText w:val="%8."/>
      <w:lvlJc w:val="left"/>
      <w:pPr>
        <w:ind w:left="5826" w:hanging="360"/>
      </w:pPr>
    </w:lvl>
    <w:lvl w:ilvl="8" w:tplc="392CC0A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223"/>
    <w:rsid w:val="000C5223"/>
    <w:rsid w:val="007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 Знак Знак Знак Знак,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 Знак Знак Знак Знак Знак,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44C1-F23C-42EC-B566-D694315E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25</cp:revision>
  <cp:lastPrinted>2021-02-19T06:09:00Z</cp:lastPrinted>
  <dcterms:created xsi:type="dcterms:W3CDTF">2020-02-20T02:59:00Z</dcterms:created>
  <dcterms:modified xsi:type="dcterms:W3CDTF">2021-02-25T10:01:00Z</dcterms:modified>
</cp:coreProperties>
</file>